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276" w:lineRule="auto"/>
        <w:rPr>
          <w:rStyle w:val="None"/>
          <w:rFonts w:ascii="Roboto" w:cs="Roboto" w:hAnsi="Roboto" w:eastAsia="Roboto"/>
          <w:b w:val="1"/>
          <w:bCs w:val="1"/>
          <w:sz w:val="34"/>
          <w:szCs w:val="34"/>
        </w:rPr>
      </w:pPr>
      <w:r>
        <w:rPr>
          <w:rStyle w:val="None"/>
          <w:rFonts w:ascii="Roboto" w:hAnsi="Roboto"/>
          <w:b w:val="1"/>
          <w:bCs w:val="1"/>
          <w:sz w:val="34"/>
          <w:szCs w:val="34"/>
          <w:rtl w:val="0"/>
          <w:lang w:val="en-US"/>
        </w:rPr>
        <w:t>Tools for taking action: Detailed action plan template</w:t>
      </w:r>
    </w:p>
    <w:p>
      <w:pPr>
        <w:pStyle w:val="No Spacing"/>
        <w:spacing w:line="276" w:lineRule="auto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 xml:space="preserve">Use this chart to record iterative cycles of planning throughout the inquiry. </w:t>
      </w:r>
    </w:p>
    <w:p>
      <w:pPr>
        <w:pStyle w:val="No Spacing"/>
        <w:spacing w:line="276" w:lineRule="auto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Remember to focus on outcomes. What student outcomes and what goals for your teaching practice are you aiming for?</w:t>
      </w:r>
    </w:p>
    <w:p>
      <w:pPr>
        <w:pStyle w:val="No Spacing"/>
        <w:spacing w:line="276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1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2835"/>
        <w:gridCol w:w="1674"/>
        <w:gridCol w:w="186"/>
        <w:gridCol w:w="550"/>
        <w:gridCol w:w="2410"/>
        <w:gridCol w:w="411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sz w:val="24"/>
                <w:szCs w:val="24"/>
                <w:rtl w:val="0"/>
                <w:lang w:val="en-US"/>
              </w:rPr>
              <w:t>Cycle 1: Planning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Issue: </w:t>
            </w:r>
          </w:p>
        </w:tc>
        <w:tc>
          <w:tcPr>
            <w:tcW w:type="dxa" w:w="7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Desired Outcomes:</w:t>
            </w:r>
          </w:p>
        </w:tc>
      </w:tr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Specific actions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Intended link to outcomes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What hunches underpin your plan for action? (Use </w:t>
            </w:r>
            <w:r>
              <w:rPr>
                <w:rStyle w:val="None"/>
                <w:rFonts w:ascii="Roboto" w:hAnsi="Roboto" w:hint="default"/>
                <w:rtl w:val="0"/>
                <w:lang w:val="en-US"/>
              </w:rPr>
              <w:t>‘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if, then</w:t>
            </w:r>
            <w:r>
              <w:rPr>
                <w:rStyle w:val="None"/>
                <w:rFonts w:ascii="Roboto" w:hAnsi="Roboto" w:hint="default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statements)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Timeframe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Resources needed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Measurement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How will you determine whether your actions are resulting in improvements?</w:t>
            </w:r>
          </w:p>
        </w:tc>
      </w:tr>
      <w:tr>
        <w:tblPrEx>
          <w:shd w:val="clear" w:color="auto" w:fill="ced7e7"/>
        </w:tblPrEx>
        <w:trPr>
          <w:trHeight w:val="459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sz w:val="24"/>
                <w:szCs w:val="24"/>
                <w:rtl w:val="0"/>
                <w:lang w:val="en-US"/>
              </w:rPr>
              <w:t>Findings</w:t>
            </w:r>
          </w:p>
        </w:tc>
      </w:tr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Actual outcomes: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What is going on for students as a result of your actions?</w:t>
            </w:r>
          </w:p>
        </w:tc>
        <w:tc>
          <w:tcPr>
            <w:tcW w:type="dxa" w:w="72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Reflections / learning:</w:t>
            </w:r>
            <w:r>
              <w:rPr>
                <w:rStyle w:val="None"/>
                <w:rFonts w:ascii="Roboto" w:hAnsi="Roboto"/>
                <w:i w:val="1"/>
                <w:iCs w:val="1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What have you learnt about your practice? What modifications are necessary?</w:t>
            </w:r>
            <w:r>
              <w:rPr>
                <w:rStyle w:val="None"/>
                <w:rFonts w:ascii="Roboto" w:hAnsi="Roboto"/>
                <w:i w:val="1"/>
                <w:iCs w:val="1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What different approaches could you try? What can you adapt, refine or revise in your understanding of your students</w:t>
            </w:r>
            <w:r>
              <w:rPr>
                <w:rStyle w:val="None"/>
                <w:rFonts w:ascii="Roboto" w:hAnsi="Roboto" w:hint="default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learning?</w:t>
            </w:r>
          </w:p>
        </w:tc>
      </w:tr>
      <w:tr>
        <w:tblPrEx>
          <w:shd w:val="clear" w:color="auto" w:fill="ced7e7"/>
        </w:tblPrEx>
        <w:trPr>
          <w:trHeight w:val="6639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72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Cycle 2: Modifications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Specific actions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Intended link to outcomes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What assumptions underpin your plan for action?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Timeframe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Resources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Measurement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How will you determine whether your actions are resulting in improvements?</w:t>
            </w:r>
          </w:p>
        </w:tc>
      </w:tr>
      <w:tr>
        <w:tblPrEx>
          <w:shd w:val="clear" w:color="auto" w:fill="ced7e7"/>
        </w:tblPrEx>
        <w:trPr>
          <w:trHeight w:val="284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1417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Findings</w:t>
            </w:r>
          </w:p>
        </w:tc>
      </w:tr>
      <w:tr>
        <w:tblPrEx>
          <w:shd w:val="clear" w:color="auto" w:fill="ced7e7"/>
        </w:tblPrEx>
        <w:trPr>
          <w:trHeight w:val="1388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Actual outcomes: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is going on for students as a result of your actions?</w:t>
            </w:r>
          </w:p>
        </w:tc>
        <w:tc>
          <w:tcPr>
            <w:tcW w:type="dxa" w:w="7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Reflections / learning: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have you learnt about your practice? What modifications are necessary? What different approaches could you try? What can you adapt, refine or revise in your understanding of your students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learning?</w:t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7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following is a worked example of the first cycle of the detailed action plan tool, exploring the issue student unresponsiveness to teacher feedback:</w:t>
      </w:r>
    </w:p>
    <w:tbl>
      <w:tblPr>
        <w:tblW w:w="146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2835"/>
        <w:gridCol w:w="1674"/>
        <w:gridCol w:w="186"/>
        <w:gridCol w:w="550"/>
        <w:gridCol w:w="2410"/>
        <w:gridCol w:w="4536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46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Cycle 1: Planning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71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Issue: 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>Students aren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>t responding to my feedback</w:t>
            </w:r>
          </w:p>
        </w:tc>
        <w:tc>
          <w:tcPr>
            <w:tcW w:type="dxa" w:w="74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Desired Outcomes: </w:t>
            </w:r>
            <w:r>
              <w:rPr>
                <w:rStyle w:val="None"/>
                <w:b w:val="0"/>
                <w:bCs w:val="0"/>
                <w:shd w:val="nil" w:color="auto" w:fill="auto"/>
                <w:rtl w:val="0"/>
                <w:lang w:val="en-US"/>
              </w:rPr>
              <w:t xml:space="preserve">My feedback is useful to improve student progress and achievement. Students take my feedback on board and are able to use it to improve their understanding and quality of their work. </w:t>
            </w:r>
          </w:p>
        </w:tc>
      </w:tr>
      <w:tr>
        <w:tblPrEx>
          <w:shd w:val="clear" w:color="auto" w:fill="ced7e7"/>
        </w:tblPrEx>
        <w:trPr>
          <w:trHeight w:val="1319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Specific actions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Intended link to outcomes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What hunches underpin your plan for action? (Use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if, then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statements)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Timeframe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Resources needed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Measurement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How will you determine whether your actions are resulting in improvements?</w:t>
            </w:r>
          </w:p>
        </w:tc>
      </w:tr>
      <w:tr>
        <w:tblPrEx>
          <w:shd w:val="clear" w:color="auto" w:fill="ced7e7"/>
        </w:tblPrEx>
        <w:trPr>
          <w:trHeight w:val="497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Use questions in my feedback</w:t>
            </w: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I use questions in my feedback, then students will be challenged to think about decisions they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ve made in their work.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Over the next term I will test this out with one class/subject area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 question bank for a specific topic so I can adapt and reuse questions in my feedback. </w:t>
            </w: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Time to think of questions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 should see students acting on my feedback, or at least engaging on a deeper level to talk about their work/learning.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46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Findings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Actual outcomes: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is going on for students as a result of your actions?</w:t>
            </w:r>
          </w:p>
        </w:tc>
        <w:tc>
          <w:tcPr>
            <w:tcW w:type="dxa" w:w="76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Reflections / learning:</w:t>
            </w:r>
            <w:r>
              <w:rPr>
                <w:rStyle w:val="None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What have you learnt about your practice? What modifications are necessary?</w:t>
            </w:r>
          </w:p>
        </w:tc>
      </w:tr>
      <w:tr>
        <w:tblPrEx>
          <w:shd w:val="clear" w:color="auto" w:fill="ced7e7"/>
        </w:tblPrEx>
        <w:trPr>
          <w:trHeight w:val="2416" w:hRule="atLeast"/>
        </w:trPr>
        <w:tc>
          <w:tcPr>
            <w:tcW w:type="dxa" w:w="6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At first students seem to struggle with being questioned about their work and/or ignored the question. I had to prompt students to respond with lower-level questions to get them talking more. However, I persisted and as students became familiar with being questioned they began to respond to the feedback. </w:t>
            </w: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76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ve learnt it can be really hard to think of good questions when giving verbal feedback so I need to develop some pre-planned questions to help me develop this skill.</w:t>
            </w:r>
          </w:p>
          <w:p>
            <w:pPr>
              <w:pStyle w:val="Body"/>
              <w:spacing w:after="0" w:line="36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 also learnt I had to create an environment where students felt safe and confident to talk about their work/learning, to struggle with a response to my question, and to defend their work. This is still a work in progress. </w:t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2021</w:t>
    </w: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