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6"/>
          <w:szCs w:val="36"/>
        </w:rPr>
      </w:pPr>
      <w:r>
        <w:rPr>
          <w:rStyle w:val="None"/>
          <w:rFonts w:ascii="Roboto" w:hAnsi="Roboto"/>
          <w:b w:val="1"/>
          <w:bCs w:val="1"/>
          <w:sz w:val="36"/>
          <w:szCs w:val="36"/>
          <w:rtl w:val="0"/>
          <w:lang w:val="en-US"/>
        </w:rPr>
        <w:t>Tools for focusing: Narrowing the focus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Use this tool to narrow the focus of your inquiry and make it very specific.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sz w:val="24"/>
                <w:szCs w:val="24"/>
                <w:rtl w:val="0"/>
                <w:lang w:val="en-US"/>
              </w:rPr>
              <w:t>Observe</w:t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Describe the general area of improvement (eg. mathematical problem-solving)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Describe what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s working well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Describe what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s not working well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WHO: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Identify the students who are affected/involved. 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066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Identify which areas of your teaching practice are involved (eg. feedback, classroom management, questioning techniques)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sz w:val="24"/>
                <w:szCs w:val="24"/>
                <w:rtl w:val="0"/>
                <w:lang w:val="en-US"/>
              </w:rPr>
              <w:t>Aspire</w:t>
            </w:r>
          </w:p>
        </w:tc>
      </w:tr>
      <w:tr>
        <w:tblPrEx>
          <w:shd w:val="clear" w:color="auto" w:fill="cdd4e9"/>
        </w:tblPrEx>
        <w:trPr>
          <w:trHeight w:val="2365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HOW: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What do you want students to know, understand and do? (eg. students will develop the confidence and knowledge of a range of strategies to persevere with, and enjoy, mathematical word problems)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65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HOW: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What will this look like? How will you know you have made a difference? (eg. students will self-select more challenging problems, persist in solving them, and talk about and share strategies with excitement)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What strengths can you build on? (Yours and/or students</w:t>
            </w:r>
            <w:r>
              <w:rPr>
                <w:rStyle w:val="None"/>
                <w:rFonts w:ascii="Roboto" w:hAnsi="Roboto" w:hint="default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sz w:val="24"/>
                <w:szCs w:val="24"/>
                <w:rtl w:val="0"/>
                <w:lang w:val="en-US"/>
              </w:rPr>
              <w:t>Speculate</w:t>
            </w:r>
          </w:p>
        </w:tc>
      </w:tr>
      <w:tr>
        <w:tblPrEx>
          <w:shd w:val="clear" w:color="auto" w:fill="cdd4e9"/>
        </w:tblPrEx>
        <w:trPr>
          <w:trHeight w:val="2365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WHY: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Why is it a problem? What might be some of the barriers to learning? What could cause this problem? (Try to avoid jumping to conclusions at this stage. Use the 5 Whys Analysis to identify the root cause)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Identify possible challenges you may face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WHO: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 Is there another teacher who has a similar problem you could work with?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Roboto" w:cs="Roboto" w:hAnsi="Roboto" w:eastAsia="Roboto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